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9A" w:rsidRPr="00022E9A" w:rsidRDefault="00022E9A" w:rsidP="001A53B4">
      <w:pPr>
        <w:pStyle w:val="a8"/>
        <w:shd w:val="clear" w:color="auto" w:fill="FFFFFF"/>
        <w:spacing w:before="0" w:beforeAutospacing="0" w:after="0" w:afterAutospacing="0"/>
        <w:jc w:val="center"/>
        <w:rPr>
          <w:rStyle w:val="a9"/>
          <w:bCs/>
          <w:color w:val="333333"/>
          <w:sz w:val="28"/>
          <w:szCs w:val="28"/>
        </w:rPr>
      </w:pPr>
      <w:bookmarkStart w:id="0" w:name="_GoBack"/>
      <w:bookmarkEnd w:id="0"/>
      <w:r w:rsidRPr="00022E9A">
        <w:rPr>
          <w:rStyle w:val="a9"/>
          <w:bCs/>
          <w:color w:val="333333"/>
          <w:sz w:val="28"/>
          <w:szCs w:val="28"/>
        </w:rPr>
        <w:t>Выступление Главы на сходах граждан в декабре 2017 года</w:t>
      </w:r>
    </w:p>
    <w:p w:rsidR="00022E9A" w:rsidRDefault="00022E9A" w:rsidP="001A53B4">
      <w:pPr>
        <w:pStyle w:val="a8"/>
        <w:shd w:val="clear" w:color="auto" w:fill="FFFFFF"/>
        <w:spacing w:before="0" w:beforeAutospacing="0" w:after="0" w:afterAutospacing="0"/>
        <w:jc w:val="center"/>
        <w:rPr>
          <w:rStyle w:val="a9"/>
          <w:bCs/>
          <w:color w:val="333333"/>
          <w:sz w:val="48"/>
          <w:szCs w:val="48"/>
        </w:rPr>
      </w:pPr>
    </w:p>
    <w:p w:rsidR="001A53B4" w:rsidRDefault="001A53B4" w:rsidP="001A53B4">
      <w:pPr>
        <w:pStyle w:val="a8"/>
        <w:shd w:val="clear" w:color="auto" w:fill="FFFFFF"/>
        <w:spacing w:before="0" w:beforeAutospacing="0" w:after="0" w:afterAutospacing="0"/>
        <w:jc w:val="center"/>
        <w:rPr>
          <w:rStyle w:val="a9"/>
          <w:rFonts w:ascii="inherit" w:hAnsi="inherit"/>
          <w:bCs/>
          <w:color w:val="333333"/>
          <w:sz w:val="48"/>
          <w:szCs w:val="48"/>
        </w:rPr>
      </w:pPr>
      <w:r>
        <w:rPr>
          <w:rStyle w:val="a9"/>
          <w:rFonts w:ascii="inherit" w:hAnsi="inherit"/>
          <w:bCs/>
          <w:color w:val="333333"/>
          <w:sz w:val="48"/>
          <w:szCs w:val="48"/>
        </w:rPr>
        <w:t>«Ìóñîðíàÿ» ïðîáëåìà</w:t>
      </w:r>
      <w:r w:rsidR="0043438A">
        <w:rPr>
          <w:rStyle w:val="a9"/>
          <w:rFonts w:ascii="Calibri" w:hAnsi="Calibri"/>
          <w:bCs/>
          <w:color w:val="333333"/>
          <w:sz w:val="48"/>
          <w:szCs w:val="48"/>
        </w:rPr>
        <w:t>»</w:t>
      </w:r>
    </w:p>
    <w:p w:rsidR="0043438A" w:rsidRPr="0043438A" w:rsidRDefault="0043438A" w:rsidP="001A53B4">
      <w:pPr>
        <w:pStyle w:val="a8"/>
        <w:shd w:val="clear" w:color="auto" w:fill="FFFFFF"/>
        <w:spacing w:before="0" w:beforeAutospacing="0" w:after="0" w:afterAutospacing="0"/>
        <w:jc w:val="center"/>
        <w:rPr>
          <w:rFonts w:ascii="Calibri" w:hAnsi="Calibri"/>
          <w:color w:val="333333"/>
        </w:rPr>
      </w:pPr>
    </w:p>
    <w:p w:rsidR="001A53B4" w:rsidRDefault="003B1BAF" w:rsidP="003B1BAF">
      <w:pPr>
        <w:pStyle w:val="a8"/>
        <w:shd w:val="clear" w:color="auto" w:fill="FFFFFF"/>
        <w:spacing w:before="0" w:beforeAutospacing="0" w:after="0" w:afterAutospacing="0"/>
        <w:jc w:val="both"/>
        <w:rPr>
          <w:color w:val="333333"/>
        </w:rPr>
      </w:pPr>
      <w:r>
        <w:rPr>
          <w:rStyle w:val="a9"/>
          <w:bCs/>
          <w:color w:val="333333"/>
        </w:rPr>
        <w:t xml:space="preserve">        </w:t>
      </w:r>
      <w:r w:rsidR="001A53B4">
        <w:rPr>
          <w:rStyle w:val="a9"/>
          <w:rFonts w:ascii="inherit" w:hAnsi="inherit"/>
          <w:bCs/>
          <w:color w:val="333333"/>
        </w:rPr>
        <w:t>Ñëîæèâøàÿñÿ ñèòóàöèÿ â ñôåðå îáðàùåíèÿ ñ îòõîäàìè â Ðîññèè õàðàêòåðèçóåòñÿ ãèãàíòñêèìè åæåãîäíûìè îáúåìàìè çàõîðàíèâàåìûõ îòõîäîâ è óâåëè÷åíèåì ïëîùàäåé íåñàíêöèîíèðîâàííûõ ñâàëîê âîêðóã íàñåëåííûõ ïóíêòîâ.</w:t>
      </w:r>
    </w:p>
    <w:p w:rsidR="0043438A" w:rsidRDefault="003B1BAF" w:rsidP="003B1BAF">
      <w:pPr>
        <w:pStyle w:val="a8"/>
        <w:shd w:val="clear" w:color="auto" w:fill="FFFFFF"/>
        <w:spacing w:before="0" w:beforeAutospacing="0" w:after="0" w:afterAutospacing="0"/>
        <w:jc w:val="both"/>
        <w:rPr>
          <w:color w:val="333333"/>
        </w:rPr>
      </w:pPr>
      <w:r>
        <w:rPr>
          <w:color w:val="333333"/>
        </w:rPr>
        <w:t xml:space="preserve">         </w:t>
      </w:r>
      <w:r w:rsidR="001A53B4">
        <w:rPr>
          <w:color w:val="333333"/>
        </w:rPr>
        <w:t>В целях преодоления негативной ситуации в области обращения с отходами, которая неблагоприятно сказывается как на экологической ситуации, так и на здоровье граждан, на федеральном уровне был принят ряд нормативных актов в области обращения с отходами производства. Так, Федеральным законом № 458-ФЗ от 29</w:t>
      </w:r>
      <w:r>
        <w:rPr>
          <w:color w:val="333333"/>
        </w:rPr>
        <w:t xml:space="preserve"> декабря </w:t>
      </w:r>
      <w:r w:rsidR="001A53B4">
        <w:rPr>
          <w:color w:val="333333"/>
        </w:rPr>
        <w:t>2014 года «О внесении изменений в Федеральный закон «Об отходах производства и потребления» определено, что полномочия по сбору, вывозу и утилизации отходов переходят с муниципального на региональный уровень власти</w:t>
      </w:r>
      <w:r>
        <w:rPr>
          <w:color w:val="333333"/>
        </w:rPr>
        <w:t>»</w:t>
      </w:r>
      <w:r w:rsidR="001A53B4">
        <w:rPr>
          <w:color w:val="333333"/>
        </w:rPr>
        <w:t>. </w:t>
      </w:r>
      <w:r w:rsidR="001A53B4">
        <w:rPr>
          <w:rFonts w:ascii="inherit" w:hAnsi="inherit"/>
          <w:color w:val="333333"/>
        </w:rPr>
        <w:br/>
      </w:r>
      <w:r>
        <w:rPr>
          <w:color w:val="333333"/>
        </w:rPr>
        <w:t xml:space="preserve">        </w:t>
      </w:r>
      <w:r w:rsidR="001A53B4">
        <w:rPr>
          <w:color w:val="333333"/>
        </w:rPr>
        <w:t xml:space="preserve">Как мы видим, изменения, предусмотренные федеральным законом, существенно ограничивают права органов местного самоуправления в области обращения с отходами. Если сейчас муниципальные власти могут сами организовывать сбор, вывоз, утилизацию, переработку отходов, то начиная с 1 января </w:t>
      </w:r>
      <w:smartTag w:uri="urn:schemas-microsoft-com:office:smarttags" w:element="metricconverter">
        <w:smartTagPr>
          <w:attr w:name="ProductID" w:val="2017 г"/>
        </w:smartTagPr>
        <w:r w:rsidR="001A53B4">
          <w:rPr>
            <w:color w:val="333333"/>
          </w:rPr>
          <w:t>2017 г</w:t>
        </w:r>
      </w:smartTag>
      <w:r w:rsidR="001A53B4">
        <w:rPr>
          <w:color w:val="333333"/>
        </w:rPr>
        <w:t>., они смогут только принимать участие во всех операциях по обращению с отходами, причем поселковые и сельские органы самоуправления смогут участвовать только в сборе и транспортировке ТКО, районные - в обработке, утилизации, обезвреживании и захоронении ТКО</w:t>
      </w:r>
    </w:p>
    <w:p w:rsidR="00A570BA" w:rsidRDefault="001A53B4" w:rsidP="003B1BAF">
      <w:pPr>
        <w:pStyle w:val="a8"/>
        <w:shd w:val="clear" w:color="auto" w:fill="FFFFFF"/>
        <w:spacing w:before="0" w:beforeAutospacing="0" w:after="0" w:afterAutospacing="0"/>
        <w:jc w:val="both"/>
        <w:rPr>
          <w:color w:val="333333"/>
        </w:rPr>
      </w:pPr>
      <w:r>
        <w:rPr>
          <w:color w:val="333333"/>
        </w:rPr>
        <w:t>.</w:t>
      </w:r>
      <w:r w:rsidR="003B1BAF">
        <w:rPr>
          <w:color w:val="333333"/>
        </w:rPr>
        <w:t xml:space="preserve">    </w:t>
      </w:r>
      <w:r w:rsidR="0043438A">
        <w:rPr>
          <w:color w:val="333333"/>
        </w:rPr>
        <w:t>Кроме того, изменения коснулись и названия. Если сейчас мусор именуется ТБО – твердые бытовые отходы, то с началом работы Единого регионального оператора – твердые коммунальные отходы (ТКО). </w:t>
      </w:r>
      <w:r w:rsidR="0043438A">
        <w:rPr>
          <w:rFonts w:ascii="inherit" w:hAnsi="inherit"/>
          <w:color w:val="333333"/>
        </w:rPr>
        <w:br/>
      </w:r>
      <w:r w:rsidR="003B1BAF">
        <w:rPr>
          <w:color w:val="333333"/>
        </w:rPr>
        <w:t xml:space="preserve">        </w:t>
      </w:r>
      <w:r>
        <w:rPr>
          <w:color w:val="333333"/>
        </w:rPr>
        <w:t>Мы полагаем, что это является позитивным нововведением, поскольку до сегодняшнего дня из-за отсутствия финансовых средств в местных бюджетах вопросы обращения с отходами на местном уровне практически не решались, особенно в сельской местности. </w:t>
      </w:r>
      <w:r>
        <w:rPr>
          <w:rFonts w:ascii="inherit" w:hAnsi="inherit"/>
          <w:color w:val="333333"/>
        </w:rPr>
        <w:br/>
      </w:r>
      <w:r w:rsidR="003B1BAF">
        <w:rPr>
          <w:color w:val="333333"/>
        </w:rPr>
        <w:t xml:space="preserve">        </w:t>
      </w:r>
      <w:r>
        <w:rPr>
          <w:color w:val="333333"/>
        </w:rPr>
        <w:t xml:space="preserve">С 1 января </w:t>
      </w:r>
      <w:smartTag w:uri="urn:schemas-microsoft-com:office:smarttags" w:element="metricconverter">
        <w:smartTagPr>
          <w:attr w:name="ProductID" w:val="2016 г"/>
        </w:smartTagPr>
        <w:r>
          <w:rPr>
            <w:color w:val="333333"/>
          </w:rPr>
          <w:t>2016 г</w:t>
        </w:r>
      </w:smartTag>
      <w:r>
        <w:rPr>
          <w:color w:val="333333"/>
        </w:rPr>
        <w:t>. Федеральный закон № 89-ФЗ дополнен целой главой - гл.V.1 «Регулирование деятельности в области обращения с твердыми коммунальными отходами» (ст. 24.6–24.13).</w:t>
      </w:r>
      <w:r>
        <w:rPr>
          <w:rFonts w:ascii="inherit" w:hAnsi="inherit"/>
          <w:color w:val="333333"/>
        </w:rPr>
        <w:br/>
      </w:r>
      <w:r w:rsidR="003B1BAF">
        <w:rPr>
          <w:color w:val="333333"/>
        </w:rPr>
        <w:t xml:space="preserve">        </w:t>
      </w:r>
      <w:r>
        <w:rPr>
          <w:color w:val="333333"/>
        </w:rPr>
        <w:t>В соответствии со ст. 24.6 данного закона сбор, транспортирование, обработка, утилизация, обезвреживание, захоронение ТКО на территории субъекта Российской Федерации будут осуществляться региональным оператором в соответствии с региональной программой в области обращения с отходами и территориальной схемой обращения с отходами, при этом должны будут соблюдаться правила обращения с ТКО, утвержденные правительством Российской Федерации. </w:t>
      </w:r>
      <w:r>
        <w:rPr>
          <w:rFonts w:ascii="inherit" w:hAnsi="inherit"/>
          <w:color w:val="333333"/>
        </w:rPr>
        <w:br/>
      </w:r>
      <w:r w:rsidR="003B1BAF">
        <w:rPr>
          <w:color w:val="333333"/>
        </w:rPr>
        <w:t xml:space="preserve">         </w:t>
      </w:r>
      <w:r>
        <w:rPr>
          <w:color w:val="333333"/>
        </w:rPr>
        <w:t>Статус регионального оператора будет присваиваться юридическому лицу на основании конкурсного отбора, проводимого уполномоченными органами исполнительной власти субъектов Российской Федерации, на срок не менее 10 лет. Основания для лишения юридического лица статуса регионального оператора будут определены в правилах обращения с ТКО.</w:t>
      </w:r>
      <w:r>
        <w:rPr>
          <w:rFonts w:ascii="inherit" w:hAnsi="inherit"/>
          <w:color w:val="333333"/>
        </w:rPr>
        <w:br/>
      </w:r>
      <w:r w:rsidR="003B1BAF">
        <w:rPr>
          <w:color w:val="333333"/>
        </w:rPr>
        <w:t xml:space="preserve">        </w:t>
      </w:r>
      <w:r>
        <w:rPr>
          <w:color w:val="333333"/>
        </w:rPr>
        <w:t>Предполагается, что Единый региональный оператор на договорной основе будет привлекать к этой деятельности лицензированные компании.</w:t>
      </w:r>
      <w:r>
        <w:rPr>
          <w:rFonts w:ascii="inherit" w:hAnsi="inherit"/>
          <w:color w:val="333333"/>
        </w:rPr>
        <w:br/>
      </w:r>
      <w:r w:rsidR="003B1BAF">
        <w:rPr>
          <w:color w:val="333333"/>
        </w:rPr>
        <w:t xml:space="preserve">         </w:t>
      </w:r>
      <w:r>
        <w:rPr>
          <w:color w:val="333333"/>
        </w:rPr>
        <w:t xml:space="preserve">Благодаря изменениям, предусмотренным Федеральным законом № 458-ФЗ, еще один пробел в законодательстве, о котором уже говорилось не раз, был закрыт. Так, с 1 января </w:t>
      </w:r>
      <w:smartTag w:uri="urn:schemas-microsoft-com:office:smarttags" w:element="metricconverter">
        <w:smartTagPr>
          <w:attr w:name="ProductID" w:val="2016 г"/>
        </w:smartTagPr>
        <w:r>
          <w:rPr>
            <w:color w:val="333333"/>
          </w:rPr>
          <w:t>2016 г</w:t>
        </w:r>
      </w:smartTag>
      <w:r>
        <w:rPr>
          <w:color w:val="333333"/>
        </w:rPr>
        <w:t>. ст. 12 Федерального закона № 89-ФЗ дополнена п. 10 следующего содержания: «Запрещается применение твердых коммунальных отходов для рекультивации земель и карьеров».</w:t>
      </w:r>
      <w:r>
        <w:rPr>
          <w:rFonts w:ascii="inherit" w:hAnsi="inherit"/>
          <w:color w:val="333333"/>
        </w:rPr>
        <w:br/>
      </w:r>
      <w:r w:rsidR="003B1BAF">
        <w:rPr>
          <w:color w:val="333333"/>
        </w:rPr>
        <w:lastRenderedPageBreak/>
        <w:t xml:space="preserve">          </w:t>
      </w:r>
      <w:r>
        <w:rPr>
          <w:color w:val="333333"/>
        </w:rPr>
        <w:t>Также Федеральным законом № 458-ФЗ предусмотрен раздельный сбор ТКО.</w:t>
      </w:r>
      <w:r>
        <w:rPr>
          <w:rFonts w:ascii="inherit" w:hAnsi="inherit"/>
          <w:color w:val="333333"/>
        </w:rPr>
        <w:br/>
      </w:r>
      <w:r w:rsidR="003B1BAF">
        <w:rPr>
          <w:color w:val="333333"/>
        </w:rPr>
        <w:t xml:space="preserve">          </w:t>
      </w:r>
      <w:r>
        <w:rPr>
          <w:color w:val="333333"/>
        </w:rPr>
        <w:t xml:space="preserve">С 1 января </w:t>
      </w:r>
      <w:smartTag w:uri="urn:schemas-microsoft-com:office:smarttags" w:element="metricconverter">
        <w:smartTagPr>
          <w:attr w:name="ProductID" w:val="2016 г"/>
        </w:smartTagPr>
        <w:r>
          <w:rPr>
            <w:color w:val="333333"/>
          </w:rPr>
          <w:t>2016 г</w:t>
        </w:r>
      </w:smartTag>
      <w:r>
        <w:rPr>
          <w:color w:val="333333"/>
        </w:rPr>
        <w:t>. Федеральный закон № 89-ФЗ также дополнен ст. 13.3, согласно которой 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будет утверждаться территориальная схема в области обращения с отходами, в т. ч. с ТКО.</w:t>
      </w:r>
      <w:r>
        <w:rPr>
          <w:rFonts w:ascii="inherit" w:hAnsi="inherit"/>
          <w:color w:val="333333"/>
        </w:rPr>
        <w:br/>
      </w:r>
      <w:r>
        <w:rPr>
          <w:color w:val="333333"/>
        </w:rPr>
        <w:t>Данная схема должна будет разрабатываться в соответствии с документами территориального планирования и включать данные о нахождении источников образования отходов, о количестве образующихся отходов, о целевых показателях по обезвреживанию, утилизации и размещению отходов, о нахождении мест сбора и накопления отходов, о месте нахождения объектов по обработке, утилизации, обезвреживанию, захоронению отходов (в т. ч. ТКО) на территории субъекта Российской Федерации и т. д. Схема должна будет согласовываться с Росприроднадзором и размещаться в открытом доступе в сети Интернет.</w:t>
      </w:r>
      <w:r>
        <w:rPr>
          <w:rFonts w:ascii="inherit" w:hAnsi="inherit"/>
          <w:color w:val="333333"/>
        </w:rPr>
        <w:br/>
      </w:r>
      <w:r>
        <w:rPr>
          <w:color w:val="333333"/>
        </w:rPr>
        <w:t>Тарифы на услуги по обращению с ТКО будут утверждаться Коми</w:t>
      </w:r>
      <w:r w:rsidR="0043438A">
        <w:rPr>
          <w:color w:val="333333"/>
        </w:rPr>
        <w:t>тетом по тарифам и ценам Томской</w:t>
      </w:r>
      <w:r>
        <w:rPr>
          <w:color w:val="333333"/>
        </w:rPr>
        <w:t xml:space="preserve"> области. Контролировать правильность их установления и применения будет ФАС России, также на региональном уровне будут утверждаться нормативы накопления твердых бытовых отходов. </w:t>
      </w:r>
      <w:r>
        <w:rPr>
          <w:rFonts w:ascii="inherit" w:hAnsi="inherit"/>
          <w:color w:val="333333"/>
        </w:rPr>
        <w:br/>
      </w:r>
      <w:r w:rsidR="003B1BAF">
        <w:rPr>
          <w:color w:val="333333"/>
        </w:rPr>
        <w:t xml:space="preserve">        </w:t>
      </w:r>
      <w:r>
        <w:rPr>
          <w:color w:val="333333"/>
        </w:rPr>
        <w:t>Согласно ст. 24.7 собственник ТКО будет заключать с региональным оператором публичный договор в соответствии с типовым договором, утвержденным Правительством Российской Федерации (договор можно будет дополнить по соглашению сторон иными, не противоречащими законодательству Российской Федерации, положениями). Региональный оператор будет не вправе отказать собственнику в заключении договора, если отходы собственника образуются и места их сбора находятся в зоне деятельности оператора. </w:t>
      </w:r>
      <w:r>
        <w:rPr>
          <w:rFonts w:ascii="inherit" w:hAnsi="inherit"/>
          <w:color w:val="333333"/>
        </w:rPr>
        <w:br/>
      </w:r>
      <w:r>
        <w:rPr>
          <w:color w:val="333333"/>
        </w:rPr>
        <w:t>Согласно дополнениям, внесенным в статью 30 ЖК РФ, собственник жилого дома или части жилого дома обязан обеспечить обращение с твердыми коммунальными отходами (ТКО). Исполнить эту обязанность собственник может, заключив договор с региональным оператором по обращению с твердыми коммунальными отходами. </w:t>
      </w:r>
      <w:r>
        <w:rPr>
          <w:rFonts w:ascii="inherit" w:hAnsi="inherit"/>
          <w:color w:val="333333"/>
        </w:rPr>
        <w:br/>
      </w:r>
      <w:r w:rsidR="003B1BAF">
        <w:rPr>
          <w:color w:val="333333"/>
        </w:rPr>
        <w:t xml:space="preserve">        </w:t>
      </w:r>
      <w:r w:rsidR="00A570BA">
        <w:rPr>
          <w:color w:val="333333"/>
        </w:rPr>
        <w:t>И</w:t>
      </w:r>
      <w:r>
        <w:rPr>
          <w:color w:val="333333"/>
        </w:rPr>
        <w:t>зменения в законодательстве</w:t>
      </w:r>
      <w:r w:rsidR="00A570BA">
        <w:rPr>
          <w:color w:val="333333"/>
        </w:rPr>
        <w:t xml:space="preserve"> в части обращения с ТКО вступили</w:t>
      </w:r>
      <w:r>
        <w:rPr>
          <w:color w:val="333333"/>
        </w:rPr>
        <w:t xml:space="preserve"> в силу с 1 января 2017</w:t>
      </w:r>
      <w:r w:rsidR="00A570BA">
        <w:rPr>
          <w:color w:val="333333"/>
        </w:rPr>
        <w:t>.</w:t>
      </w:r>
      <w:r>
        <w:rPr>
          <w:color w:val="333333"/>
        </w:rPr>
        <w:t xml:space="preserve"> </w:t>
      </w:r>
    </w:p>
    <w:p w:rsidR="00F8662B" w:rsidRDefault="003B1BAF" w:rsidP="003B1BAF">
      <w:pPr>
        <w:pStyle w:val="a8"/>
        <w:shd w:val="clear" w:color="auto" w:fill="FFFFFF"/>
        <w:spacing w:before="0" w:beforeAutospacing="0" w:after="0" w:afterAutospacing="0"/>
        <w:jc w:val="both"/>
        <w:rPr>
          <w:color w:val="333333"/>
        </w:rPr>
      </w:pPr>
      <w:r>
        <w:rPr>
          <w:color w:val="333333"/>
        </w:rPr>
        <w:t xml:space="preserve">        </w:t>
      </w:r>
      <w:r w:rsidR="00A570BA">
        <w:rPr>
          <w:color w:val="333333"/>
        </w:rPr>
        <w:t>В данный момент нам просто необходимо заключить договор с ООО «Риск», предлагающ</w:t>
      </w:r>
      <w:r>
        <w:rPr>
          <w:color w:val="333333"/>
        </w:rPr>
        <w:t>его</w:t>
      </w:r>
      <w:r w:rsidR="00A570BA">
        <w:rPr>
          <w:color w:val="333333"/>
        </w:rPr>
        <w:t xml:space="preserve"> свои услуги п</w:t>
      </w:r>
      <w:r>
        <w:rPr>
          <w:color w:val="333333"/>
        </w:rPr>
        <w:t>о сбору, вывозу, утилизации ТКО</w:t>
      </w:r>
      <w:r w:rsidR="00F8662B">
        <w:rPr>
          <w:color w:val="333333"/>
        </w:rPr>
        <w:t>.</w:t>
      </w:r>
    </w:p>
    <w:p w:rsidR="000357D4" w:rsidRDefault="003B1BAF" w:rsidP="003B1BAF">
      <w:pPr>
        <w:pStyle w:val="a8"/>
        <w:shd w:val="clear" w:color="auto" w:fill="FFFFFF"/>
        <w:spacing w:before="0" w:beforeAutospacing="0" w:after="0" w:afterAutospacing="0"/>
        <w:jc w:val="both"/>
        <w:rPr>
          <w:color w:val="333333"/>
        </w:rPr>
      </w:pPr>
      <w:r>
        <w:rPr>
          <w:color w:val="333333"/>
        </w:rPr>
        <w:t xml:space="preserve">         </w:t>
      </w:r>
      <w:r w:rsidR="001A53B4">
        <w:rPr>
          <w:color w:val="333333"/>
        </w:rPr>
        <w:t>Уважаемые владельцы жилых домов! Как только Единый региональный оператор начнет свою работу, граждане, не заключившие договор на оказание услуг по обращению с твердыми коммунальными отходами, будут привлекаться к административной ответственности в соответствии с действующим законодательством.</w:t>
      </w:r>
    </w:p>
    <w:p w:rsidR="000357D4" w:rsidRDefault="000357D4" w:rsidP="003B1BAF">
      <w:pPr>
        <w:pStyle w:val="a8"/>
        <w:shd w:val="clear" w:color="auto" w:fill="FFFFFF"/>
        <w:spacing w:before="0" w:beforeAutospacing="0" w:after="0" w:afterAutospacing="0"/>
        <w:jc w:val="both"/>
        <w:rPr>
          <w:color w:val="333333"/>
        </w:rPr>
      </w:pPr>
    </w:p>
    <w:p w:rsidR="001A53B4" w:rsidRDefault="001A53B4" w:rsidP="003B1BAF">
      <w:pPr>
        <w:pStyle w:val="a8"/>
        <w:shd w:val="clear" w:color="auto" w:fill="FFFFFF"/>
        <w:spacing w:before="0" w:beforeAutospacing="0" w:after="0" w:afterAutospacing="0"/>
        <w:jc w:val="both"/>
        <w:rPr>
          <w:color w:val="333333"/>
        </w:rPr>
      </w:pPr>
      <w:r>
        <w:rPr>
          <w:color w:val="333333"/>
        </w:rPr>
        <w:t> </w:t>
      </w:r>
      <w:r w:rsidR="000357D4">
        <w:rPr>
          <w:color w:val="333333"/>
        </w:rPr>
        <w:t>Глава администрации Коломинского сельского поселения Лисняк Александр Венедиктович.</w:t>
      </w:r>
      <w:r>
        <w:rPr>
          <w:rFonts w:ascii="inherit" w:hAnsi="inherit"/>
          <w:color w:val="333333"/>
        </w:rPr>
        <w:br/>
      </w:r>
    </w:p>
    <w:sectPr w:rsidR="001A53B4" w:rsidSect="00E87096">
      <w:pgSz w:w="12240" w:h="15840"/>
      <w:pgMar w:top="567"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C3A" w:rsidRDefault="005A7C3A" w:rsidP="00860AB2">
      <w:pPr>
        <w:spacing w:after="0" w:line="240" w:lineRule="auto"/>
      </w:pPr>
      <w:r>
        <w:separator/>
      </w:r>
    </w:p>
  </w:endnote>
  <w:endnote w:type="continuationSeparator" w:id="0">
    <w:p w:rsidR="005A7C3A" w:rsidRDefault="005A7C3A" w:rsidP="0086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C3A" w:rsidRDefault="005A7C3A" w:rsidP="00860AB2">
      <w:pPr>
        <w:spacing w:after="0" w:line="240" w:lineRule="auto"/>
      </w:pPr>
      <w:r>
        <w:separator/>
      </w:r>
    </w:p>
  </w:footnote>
  <w:footnote w:type="continuationSeparator" w:id="0">
    <w:p w:rsidR="005A7C3A" w:rsidRDefault="005A7C3A" w:rsidP="0086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C40"/>
    <w:multiLevelType w:val="multilevel"/>
    <w:tmpl w:val="0872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FA50E0"/>
    <w:multiLevelType w:val="hybridMultilevel"/>
    <w:tmpl w:val="04161C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CB"/>
    <w:rsid w:val="000100AC"/>
    <w:rsid w:val="00022E9A"/>
    <w:rsid w:val="00030C2A"/>
    <w:rsid w:val="000357D4"/>
    <w:rsid w:val="00043C66"/>
    <w:rsid w:val="0007027C"/>
    <w:rsid w:val="000813DA"/>
    <w:rsid w:val="000935C8"/>
    <w:rsid w:val="000D73B1"/>
    <w:rsid w:val="000E43C8"/>
    <w:rsid w:val="001568D1"/>
    <w:rsid w:val="001629B1"/>
    <w:rsid w:val="001A53B4"/>
    <w:rsid w:val="001A6064"/>
    <w:rsid w:val="001B6C09"/>
    <w:rsid w:val="00205E73"/>
    <w:rsid w:val="00236EBB"/>
    <w:rsid w:val="002867BD"/>
    <w:rsid w:val="002A5130"/>
    <w:rsid w:val="003004E4"/>
    <w:rsid w:val="00305176"/>
    <w:rsid w:val="003072B3"/>
    <w:rsid w:val="00353BCE"/>
    <w:rsid w:val="00365E35"/>
    <w:rsid w:val="00393023"/>
    <w:rsid w:val="003B1BAF"/>
    <w:rsid w:val="003B4450"/>
    <w:rsid w:val="003B6AFA"/>
    <w:rsid w:val="003C00FE"/>
    <w:rsid w:val="003E6441"/>
    <w:rsid w:val="003F35C4"/>
    <w:rsid w:val="003F4CF5"/>
    <w:rsid w:val="0043438A"/>
    <w:rsid w:val="00440375"/>
    <w:rsid w:val="0045468A"/>
    <w:rsid w:val="00456838"/>
    <w:rsid w:val="00463D9B"/>
    <w:rsid w:val="00495827"/>
    <w:rsid w:val="004C61AA"/>
    <w:rsid w:val="00537C4B"/>
    <w:rsid w:val="00542F6F"/>
    <w:rsid w:val="005A4885"/>
    <w:rsid w:val="005A7C3A"/>
    <w:rsid w:val="005C2B93"/>
    <w:rsid w:val="005D44D1"/>
    <w:rsid w:val="005E236C"/>
    <w:rsid w:val="006461F9"/>
    <w:rsid w:val="006765EE"/>
    <w:rsid w:val="006A1336"/>
    <w:rsid w:val="006E1AC6"/>
    <w:rsid w:val="00747FD5"/>
    <w:rsid w:val="00782AD8"/>
    <w:rsid w:val="007C3C43"/>
    <w:rsid w:val="007D3A42"/>
    <w:rsid w:val="00860AB2"/>
    <w:rsid w:val="008E2095"/>
    <w:rsid w:val="008E59CF"/>
    <w:rsid w:val="009016C9"/>
    <w:rsid w:val="00953C3D"/>
    <w:rsid w:val="00963026"/>
    <w:rsid w:val="00996CE4"/>
    <w:rsid w:val="00997D6A"/>
    <w:rsid w:val="009C3954"/>
    <w:rsid w:val="009D3B68"/>
    <w:rsid w:val="00A37E18"/>
    <w:rsid w:val="00A4028D"/>
    <w:rsid w:val="00A570BA"/>
    <w:rsid w:val="00A923B2"/>
    <w:rsid w:val="00AC7396"/>
    <w:rsid w:val="00B03748"/>
    <w:rsid w:val="00B65624"/>
    <w:rsid w:val="00B77D83"/>
    <w:rsid w:val="00B95676"/>
    <w:rsid w:val="00BD311C"/>
    <w:rsid w:val="00C11025"/>
    <w:rsid w:val="00C25983"/>
    <w:rsid w:val="00C807CB"/>
    <w:rsid w:val="00C838C0"/>
    <w:rsid w:val="00C95F36"/>
    <w:rsid w:val="00CE6712"/>
    <w:rsid w:val="00CE75CD"/>
    <w:rsid w:val="00D730ED"/>
    <w:rsid w:val="00DD2EDB"/>
    <w:rsid w:val="00E0486E"/>
    <w:rsid w:val="00E53C49"/>
    <w:rsid w:val="00E87096"/>
    <w:rsid w:val="00F51839"/>
    <w:rsid w:val="00F8662B"/>
    <w:rsid w:val="00F868EA"/>
    <w:rsid w:val="00FA45F2"/>
    <w:rsid w:val="00FA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469012C-BDCC-4468-8F66-9B044ED8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0AB2"/>
    <w:pPr>
      <w:tabs>
        <w:tab w:val="center" w:pos="4677"/>
        <w:tab w:val="right" w:pos="9355"/>
      </w:tabs>
    </w:pPr>
  </w:style>
  <w:style w:type="character" w:customStyle="1" w:styleId="a4">
    <w:name w:val="Верхний колонтитул Знак"/>
    <w:basedOn w:val="a0"/>
    <w:link w:val="a3"/>
    <w:uiPriority w:val="99"/>
    <w:locked/>
    <w:rsid w:val="00860AB2"/>
    <w:rPr>
      <w:rFonts w:cs="Times New Roman"/>
    </w:rPr>
  </w:style>
  <w:style w:type="paragraph" w:styleId="a5">
    <w:name w:val="footer"/>
    <w:basedOn w:val="a"/>
    <w:link w:val="a6"/>
    <w:uiPriority w:val="99"/>
    <w:rsid w:val="00860AB2"/>
    <w:pPr>
      <w:tabs>
        <w:tab w:val="center" w:pos="4677"/>
        <w:tab w:val="right" w:pos="9355"/>
      </w:tabs>
    </w:pPr>
  </w:style>
  <w:style w:type="character" w:customStyle="1" w:styleId="a6">
    <w:name w:val="Нижний колонтитул Знак"/>
    <w:basedOn w:val="a0"/>
    <w:link w:val="a5"/>
    <w:uiPriority w:val="99"/>
    <w:locked/>
    <w:rsid w:val="00860AB2"/>
    <w:rPr>
      <w:rFonts w:cs="Times New Roman"/>
    </w:rPr>
  </w:style>
  <w:style w:type="character" w:styleId="a7">
    <w:name w:val="Hyperlink"/>
    <w:basedOn w:val="a0"/>
    <w:uiPriority w:val="99"/>
    <w:rsid w:val="00C11025"/>
    <w:rPr>
      <w:rFonts w:cs="Times New Roman"/>
      <w:color w:val="0000FF"/>
      <w:u w:val="single"/>
    </w:rPr>
  </w:style>
  <w:style w:type="paragraph" w:styleId="a8">
    <w:name w:val="Normal (Web)"/>
    <w:basedOn w:val="a"/>
    <w:uiPriority w:val="99"/>
    <w:rsid w:val="001A53B4"/>
    <w:pPr>
      <w:spacing w:before="100" w:beforeAutospacing="1" w:after="100" w:afterAutospacing="1" w:line="240" w:lineRule="auto"/>
    </w:pPr>
    <w:rPr>
      <w:rFonts w:ascii="Times New Roman" w:hAnsi="Times New Roman"/>
      <w:sz w:val="24"/>
      <w:szCs w:val="24"/>
    </w:rPr>
  </w:style>
  <w:style w:type="character" w:styleId="a9">
    <w:name w:val="Strong"/>
    <w:basedOn w:val="a0"/>
    <w:uiPriority w:val="99"/>
    <w:qFormat/>
    <w:rsid w:val="001A53B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22906">
      <w:marLeft w:val="0"/>
      <w:marRight w:val="0"/>
      <w:marTop w:val="0"/>
      <w:marBottom w:val="0"/>
      <w:divBdr>
        <w:top w:val="none" w:sz="0" w:space="0" w:color="auto"/>
        <w:left w:val="none" w:sz="0" w:space="0" w:color="auto"/>
        <w:bottom w:val="none" w:sz="0" w:space="0" w:color="auto"/>
        <w:right w:val="none" w:sz="0" w:space="0" w:color="auto"/>
      </w:divBdr>
    </w:div>
    <w:div w:id="1581522907">
      <w:marLeft w:val="0"/>
      <w:marRight w:val="0"/>
      <w:marTop w:val="0"/>
      <w:marBottom w:val="0"/>
      <w:divBdr>
        <w:top w:val="none" w:sz="0" w:space="0" w:color="auto"/>
        <w:left w:val="none" w:sz="0" w:space="0" w:color="auto"/>
        <w:bottom w:val="none" w:sz="0" w:space="0" w:color="auto"/>
        <w:right w:val="none" w:sz="0" w:space="0" w:color="auto"/>
      </w:divBdr>
    </w:div>
    <w:div w:id="1581522908">
      <w:marLeft w:val="0"/>
      <w:marRight w:val="0"/>
      <w:marTop w:val="0"/>
      <w:marBottom w:val="0"/>
      <w:divBdr>
        <w:top w:val="none" w:sz="0" w:space="0" w:color="auto"/>
        <w:left w:val="none" w:sz="0" w:space="0" w:color="auto"/>
        <w:bottom w:val="none" w:sz="0" w:space="0" w:color="auto"/>
        <w:right w:val="none" w:sz="0" w:space="0" w:color="auto"/>
      </w:divBdr>
    </w:div>
    <w:div w:id="1581522910">
      <w:marLeft w:val="0"/>
      <w:marRight w:val="0"/>
      <w:marTop w:val="0"/>
      <w:marBottom w:val="0"/>
      <w:divBdr>
        <w:top w:val="none" w:sz="0" w:space="0" w:color="auto"/>
        <w:left w:val="none" w:sz="0" w:space="0" w:color="auto"/>
        <w:bottom w:val="none" w:sz="0" w:space="0" w:color="auto"/>
        <w:right w:val="none" w:sz="0" w:space="0" w:color="auto"/>
      </w:divBdr>
    </w:div>
    <w:div w:id="1581522911">
      <w:marLeft w:val="0"/>
      <w:marRight w:val="0"/>
      <w:marTop w:val="0"/>
      <w:marBottom w:val="0"/>
      <w:divBdr>
        <w:top w:val="none" w:sz="0" w:space="0" w:color="auto"/>
        <w:left w:val="none" w:sz="0" w:space="0" w:color="auto"/>
        <w:bottom w:val="none" w:sz="0" w:space="0" w:color="auto"/>
        <w:right w:val="none" w:sz="0" w:space="0" w:color="auto"/>
      </w:divBdr>
      <w:divsChild>
        <w:div w:id="1581522909">
          <w:marLeft w:val="0"/>
          <w:marRight w:val="0"/>
          <w:marTop w:val="0"/>
          <w:marBottom w:val="0"/>
          <w:divBdr>
            <w:top w:val="none" w:sz="0" w:space="0" w:color="auto"/>
            <w:left w:val="none" w:sz="0" w:space="0" w:color="auto"/>
            <w:bottom w:val="none" w:sz="0" w:space="0" w:color="auto"/>
            <w:right w:val="none" w:sz="0" w:space="0" w:color="auto"/>
          </w:divBdr>
        </w:div>
      </w:divsChild>
    </w:div>
    <w:div w:id="1581522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2</cp:revision>
  <dcterms:created xsi:type="dcterms:W3CDTF">2024-08-04T14:12:00Z</dcterms:created>
  <dcterms:modified xsi:type="dcterms:W3CDTF">2024-08-04T14:12:00Z</dcterms:modified>
</cp:coreProperties>
</file>